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1600"/>
        <w:gridCol w:w="1600"/>
        <w:gridCol w:w="1000"/>
        <w:gridCol w:w="600"/>
        <w:gridCol w:w="1600"/>
        <w:gridCol w:w="2000"/>
        <w:gridCol w:w="400"/>
        <w:gridCol w:w="200"/>
        <w:gridCol w:w="200"/>
        <w:gridCol w:w="400"/>
        <w:gridCol w:w="800"/>
        <w:gridCol w:w="1200"/>
        <w:gridCol w:w="1400"/>
        <w:gridCol w:w="1400"/>
        <w:gridCol w:w="400"/>
        <w:gridCol w:w="1200"/>
        <w:gridCol w:w="40"/>
      </w:tblGrid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</w:pPr>
            <w:bookmarkStart w:id="0" w:name="JR_PAGE_ANCHOR_0_1"/>
            <w:bookmarkStart w:id="1" w:name="_GoBack"/>
            <w:bookmarkEnd w:id="0"/>
            <w:bookmarkEnd w:id="1"/>
          </w:p>
        </w:tc>
        <w:tc>
          <w:tcPr>
            <w:tcW w:w="1600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CB2430" w:rsidRDefault="00CB2430">
            <w:pPr>
              <w:pStyle w:val="EMPTYCELLSTYLE"/>
            </w:pPr>
          </w:p>
        </w:tc>
        <w:tc>
          <w:tcPr>
            <w:tcW w:w="1600" w:type="dxa"/>
          </w:tcPr>
          <w:p w:rsidR="00CB2430" w:rsidRDefault="00CB2430">
            <w:pPr>
              <w:pStyle w:val="EMPTYCELLSTYLE"/>
            </w:pPr>
          </w:p>
        </w:tc>
        <w:tc>
          <w:tcPr>
            <w:tcW w:w="2000" w:type="dxa"/>
          </w:tcPr>
          <w:p w:rsidR="00CB2430" w:rsidRDefault="00CB2430">
            <w:pPr>
              <w:pStyle w:val="EMPTYCELLSTYLE"/>
            </w:pPr>
          </w:p>
        </w:tc>
        <w:tc>
          <w:tcPr>
            <w:tcW w:w="400" w:type="dxa"/>
          </w:tcPr>
          <w:p w:rsidR="00CB2430" w:rsidRDefault="00CB2430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CB2430" w:rsidRDefault="00CB2430">
            <w:pPr>
              <w:pStyle w:val="EMPTYCELLSTYLE"/>
            </w:pPr>
          </w:p>
        </w:tc>
        <w:tc>
          <w:tcPr>
            <w:tcW w:w="400" w:type="dxa"/>
          </w:tcPr>
          <w:p w:rsidR="00CB2430" w:rsidRDefault="00CB2430">
            <w:pPr>
              <w:pStyle w:val="EMPTYCELLSTYLE"/>
            </w:pPr>
          </w:p>
        </w:tc>
        <w:tc>
          <w:tcPr>
            <w:tcW w:w="2000" w:type="dxa"/>
            <w:gridSpan w:val="2"/>
          </w:tcPr>
          <w:p w:rsidR="00CB2430" w:rsidRDefault="00CB2430">
            <w:pPr>
              <w:pStyle w:val="EMPTYCELLSTYLE"/>
            </w:pPr>
          </w:p>
        </w:tc>
        <w:tc>
          <w:tcPr>
            <w:tcW w:w="1400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400" w:type="dxa"/>
          </w:tcPr>
          <w:p w:rsidR="00CB2430" w:rsidRDefault="00CB2430">
            <w:pPr>
              <w:pStyle w:val="EMPTYCELLSTYLE"/>
            </w:pPr>
          </w:p>
        </w:tc>
        <w:tc>
          <w:tcPr>
            <w:tcW w:w="400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200" w:type="dxa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r>
              <w:rPr>
                <w:rFonts w:ascii="DejaVu Sans" w:eastAsia="DejaVu Sans" w:hAnsi="DejaVu Sans" w:cs="DejaVu Sans"/>
                <w:color w:val="000000"/>
                <w:sz w:val="24"/>
              </w:rPr>
              <w:t xml:space="preserve"> Izvještaj o sprovođenju plana integriteta za 2023. godinu</w:t>
            </w: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r>
              <w:rPr>
                <w:rFonts w:ascii="SansSerif" w:eastAsia="SansSerif" w:hAnsi="SansSerif" w:cs="SansSerif"/>
                <w:color w:val="000000"/>
                <w:sz w:val="24"/>
              </w:rPr>
              <w:t xml:space="preserve"> Opština Rožaje</w:t>
            </w: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12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48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REGISTAR RIZIKA</w:t>
            </w:r>
          </w:p>
        </w:tc>
        <w:tc>
          <w:tcPr>
            <w:tcW w:w="48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PROCJENE I MJERENJE RIZIKA</w:t>
            </w:r>
          </w:p>
        </w:tc>
        <w:tc>
          <w:tcPr>
            <w:tcW w:w="48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REAGOVANJE NA RIZIK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PREGLED I IZVJEŠTAVANJE O RIZICIMA</w:t>
            </w: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96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Oblasti rizika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Radna mjesta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Osnovni rizici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Postojeće mjere kontrole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Preostali rizici(rezidualni)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Vjer.</w:t>
            </w:r>
          </w:p>
        </w:tc>
        <w:tc>
          <w:tcPr>
            <w:tcW w:w="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Posljedice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Procjena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Predložene mjere za smanjenje/otklanjanje rizika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Ogovorna osoba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Rok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St.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Kratak opis i ocjena realizacije mjere</w:t>
            </w: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774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77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7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potpredsjednik Opštine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i izvršavanje budžeta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kontrola rada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Nezakonito donošenje odluka pri procesu zapošljavanja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Nepostojanje jasne strategije upravljanja, misije i vizije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Godišnji plan rada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revizija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Podnošenje izvještaja Skupštini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7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Predlaganje odluka pod eksternim uticajem suprotno javnom interesu zbog nepostojanja propisa za korišćenje diskrecionih ovlašćenja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Primanje sonzorstav i donacija suprotno odredbama Zakona o sprječavanju korupcije.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Nedonošenje ili kašnjenje pri donošenju st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rategije razvoja opštine u skladu sa zakonom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Podnošenje izvještaja o radu kvartalno.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Skupštine Opštine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Određeni dio straješina ne podnosi i dalje izvještaje o radu na kvartalnom nivou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Povećanje transparentnosti rada i redovno objavljivanje odluka na zvaničnom sajtu opštine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Skupštine Opštine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Sajt je fazi izrade i ažuriranja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Pravilnika o uspostavlajnju registra o primljenim pokolnima donacijama i sl.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Pravilnik je usvojen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izvještavanje o sprovedenim kontrolama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Izvještavanje se sprovodi nakon kontrola od strane DRI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654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5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5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potpredsjednik Opštine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i izvršavanje budžeta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kontrola rada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Nezakonito donošenje odluka pri procesu zapošljavanja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Nepostojanje jasne strategije upravljanja, misije i vizije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Godišnji plan rada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revizija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Podnošenje izvještaja Skupštini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5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Predlaganje odluka pod eksternim uticajem suprotno javnom interesu zbog nepostojanja propisa za korišćenje diskrecionih ovlašćenja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Primanje sonzorstav i donacija suprotno odredbama Zakona o sprječavanju korupcije.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Nedonošenje ili kašnjenje pri donošenju st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rategije razvoja opštine u skladu sa zakonom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dostavljati izvještaje o imovini i prihodima javnih funkcionera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Javni funkcioneri redovno dosatvljaju izvještaje, međutim mali broj funkcionera dostavi izvještaj nakon 31 marta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30.03.2023.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Praćenje realizacije  Strateškog plana razvoja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Izvjještaji se podnose na godišnjem nivou resornom Ministarstvu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02.12.2023.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444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4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glavni administrator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Usklađenost i kontrola propisa i standarda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Neblagovremeni prijem, dostavljanje i otpremanje pismena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Godišnji plan rada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Izvještavanje o stanju u  upravnoj oblasti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Neblagovremena i neadekvatna kooridnacija nad radom organa lokalne uprave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Kvartalno podnošenje izvještaja o radu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Održavanje stručnih kolegijuma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glavni administrator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Stručni kolegijumi se održavaju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Organizovanje obuka u jedinici lokalne samouprave u saradnji sa Upravnom za kadrove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da lokalna uprava organizuje seminare i obuke za zaposlene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111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11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0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postupanje po zahtjevima za slobodan pristup informacijama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Široka diskreciona ovlašćenja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Zloupotreba finansijskih ovlašćenja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Nezakonito donošenje odluka pri procesu zapošljavanja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Inspekcijska kontrola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ulaganja žalbi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državnim službenicima i namještenicima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1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poklona suprotno zakonu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Nepoštovanje zakonske obeveze  evidentiranja primljenih poklona i njihove vrijednosti.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Neadekvatno i nedovoljno transparentno trošenje budžetskih sredstava.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Neazkonito zapošljavanje odnosno pozitivna diskriminacija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42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Povećanje transparentnosti rada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Organizovanje  javnih rasprava prilikom donošenja odluka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Objavljivanje svih informacija i podataka u skladu sa Zakonom o slobodnom pristupu informacijama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Redovno izvještavanje o potrošnji budžetskih sredstava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Potrebno je kontinuirano raditi na podizanju transparentnosti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Postupati u kratkom roku po preporukama iz izvještaja o izvršenoj reviziji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Donošenje internih akata i procedura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da svi organi lokalne uprave postupaju po preporukama revizije u ostav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ljenim rokovima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Uključivanje stručnih lica i istaknutih stručnjaka sa iskustvom prilikom ocjene kandidata za prijem u radni odnos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Potrebno je da organ zadužen za ljudske resurse vodi računa o angažovanju stručnih lica prilikom provjere sposbnosti kandidata jer je evidentno da organ ne vodi uredno evidenciju angažovanih lica iz određenih oblasti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31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1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postupanje po zahtjevima za slobodan pristup informacijama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Široka diskreciona ovlašćenja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Zloupotreba finansijskih ovlašćenja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Nezakonito donošenje odluka pri procesu zapošljavanja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Inspekcijska kontrola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ulaganja žalbi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državnim službenicima i namještenicima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1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poklona suprotno zakonu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Nepoštovanje zakonske obeveze  evidentiranja primljenih poklona i njihove vrijednosti.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Neadekvatno i nedovoljno transparentno trošenje budžetskih sredstava.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Neazkonito zapošljavanje odnosno pozitivna diskriminacija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42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8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100"/>
                    </w:trPr>
                    <w:tc>
                      <w:tcPr>
                        <w:tcW w:w="48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78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7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7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Skupštine Opštine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Godišnji plan rada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7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Neusklađenost opštinskih odluka sa Ustavom i drugim zakonima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Materijalna šteta prilikom usvajanja nezakonitih odluka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Kontrola akata dostavljenih skupštini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Svakodnevno praćenje propisa i izmjena i dopuna zakona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Blagovremeno dostavljanje odluka Službenom listu na objavljivanje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povećati stepen edukacija i praćenju izmjena propisa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Skupštine Opštine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78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7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7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skupštine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7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neadkvatno pripremanje matrijala za sjednice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Neobavještavanje NVO o sjednicama i dnevnom redu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Donošenje internih akata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Edukacija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Objavljivanje odluka na internet stranici opštine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Skupštine Opštine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Potrebno je raditi  dodatno na edukaciji i redovno objavljivanjti odluka na sajtu Opštine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38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3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3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Nedozvoljeni uticaj na rukovodioca ili zaposlene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2430" w:rsidRDefault="00A731B7">
                  <w:r>
                    <w:br w:type="page"/>
                  </w:r>
                </w:p>
                <w:p w:rsidR="00CB2430" w:rsidRDefault="00CB2430">
                  <w:bookmarkStart w:id="4" w:name="JR_PAGE_ANCHOR_0_4"/>
                  <w:bookmarkEnd w:id="4"/>
                </w:p>
                <w:p w:rsidR="00CB2430" w:rsidRDefault="00A731B7">
                  <w:r>
                    <w:br w:type="page"/>
                  </w:r>
                </w:p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3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Veliki ili nekontrolisan prostor za donošenje diskrecionih odluka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Donijeti interno uputstvo za kontrolu i evidenciju postojanja sukoba interesa i periodična kontrola zahtjeva za izuzeće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Pokretanje postupka disciplinske  (lakše i teže) odgovornosti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glavni administrator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Potrebno je da se prema zaposlenim koji ne poštuju službene obaveze i radno vrijeme preduzimati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111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11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0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Nedozvoljeni uticaj na rukovodioca ili zaposlene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2430" w:rsidRDefault="00A731B7">
                  <w:r>
                    <w:br w:type="page"/>
                  </w:r>
                </w:p>
                <w:p w:rsidR="00CB2430" w:rsidRDefault="00CB2430">
                  <w:bookmarkStart w:id="5" w:name="JR_PAGE_ANCHOR_0_5"/>
                  <w:bookmarkEnd w:id="5"/>
                </w:p>
                <w:p w:rsidR="00CB2430" w:rsidRDefault="00A731B7">
                  <w:r>
                    <w:br w:type="page"/>
                  </w:r>
                </w:p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1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Veliki ili nekontrolisan prostor za donošenje diskrecionih odluka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mjere odgovornosti u skladu sa zakonom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92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Objavljivanje svih odluka od značaja za rad, edukaciju, usavršavanje i materijalni status zaposlenih na oglasnoj tabli ili internet stranici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Objavljivanje zarada loklanih funkcionera i straješina organa lokalne uprave  na internet stranici opštine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Zarade loklanih funcionera  nijesu objavljene na sajtu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Ocjenjivanje lokalnih službenika i namještenika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godišnje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Organi lokalne uprave u rokovima ocjenju zaposlene službenike i namještenike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 lica zaduženog za postupanje po prijavama zviždča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Potrebno je dodatno ojačati kapacitete zadužene za prijave zviždača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Mjesečno izvještavanje o stepenu naplate lokalnih javnih prihodai preduzimanju mjera radi naplate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organ zadužen za naplatu prihoda ne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198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9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9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starješine organa lokalne uprave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Nedozvoljeni uticaj na rukovodioca ili zaposlene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2430" w:rsidRDefault="00A731B7">
                  <w:r>
                    <w:br w:type="page"/>
                  </w:r>
                </w:p>
                <w:p w:rsidR="00CB2430" w:rsidRDefault="00CB2430">
                  <w:bookmarkStart w:id="6" w:name="JR_PAGE_ANCHOR_0_6"/>
                  <w:bookmarkEnd w:id="6"/>
                </w:p>
                <w:p w:rsidR="00CB2430" w:rsidRDefault="00A731B7">
                  <w:r>
                    <w:br w:type="page"/>
                  </w:r>
                </w:p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9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Veliki ili nekontrolisan prostor za donošenje diskrecionih odluka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00"/>
                    </w:trPr>
                    <w:tc>
                      <w:tcPr>
                        <w:tcW w:w="3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izvještva na mjesečnom nivou o realizaciji naplate prihoda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3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3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60"/>
                    </w:trPr>
                    <w:tc>
                      <w:tcPr>
                        <w:tcW w:w="3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91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91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0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 za finasije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i izvršavanje budžeta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nedozvoljenih poklona ili druge nedozvoljene koristi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Široka diskreciona ovlašćenja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budžetu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1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Neadkevatno planirana budžetska sredstva, donosno nepripremanje budžeta na osnovu stravrnih i realnih potreba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Nedovoljno transparentno i neadekvatno trošenje budžetskih sredstava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Analizirati stvarne potrebe institucije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izraditi detaljnu analizu potreba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 za finasije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kontrolu prilikom izrade nacrta budžeta opštine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dodatno  raditi na kontroli izrade budžeta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Osigurati učešće relevantnih subjekata i jedinica u planiranju nacrta budžeta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Evidentno je veće uključivanje svih subjekata prilikom izrade nacrta budžeta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8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Balgovremeno objavljivanje nacrta budžeta na interenet stranici opštine u cilju obezbjeđivanja zainteresovanih 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Nacrt Budžeta se blagovremeno objavljuje na sajtu Opštine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  <w:bookmarkStart w:id="7" w:name="JR_PAGE_ANCHOR_0_7"/>
            <w:bookmarkEnd w:id="7"/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34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3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 za finasije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i izvršavanje budžeta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nedozvoljenih poklona ili druge nedozvoljene koristi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Široka diskreciona ovlašćenja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budžetu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4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Neadkevatno planirana budžetska sredstva, donosno nepripremanje budžeta na osnovu stravrnih i realnih potreba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Nedovoljno transparentno i neadekvatno trošenje budžetskih sredstava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 praćenje rokova za izvršenje zaključenih ugovora i izvještavanje o nima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 za finasije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dodatno pojačati kontrolu praćanja rokova i obaveza iz ugovora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768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76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6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službe za javne nabake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postupanje sa povjerljivim i ličnim podacima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zastupanje interesa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Nepravilnosti i narušavanje integriteta u postupcima javnih nabavki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Usklađenost i kontrola propisa i standarda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ulaganja žalbi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 javnih nabavki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Portal javnih nabavki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6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transparentnost javnih nabavki.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Nevođenje evidencije po žalbama i ishodima po isitim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Pružanje povjerljivih informacija ponuđačima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Objavljivanje svih ugovora i ankesa ugovora na internet stranici opštine.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službe za javne nabake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objavljivati sve ugovora i anekse ugovora na interent stranici Opštine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8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Objavljivati sve pozive za učešće u postupcima javnih nabavki.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Postupci se objavlju u skladu sa zakonom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Obavezno uključivanje po jednog ekperta iz oblasti na koju se odnosi konkretna nabavka u sasatv komisije.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Potrebno je angažovati eksperte iz oblasti za koju se nabavka vrši u rad komisija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8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74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7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7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službe za javne nabake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postupanje sa povjerljivim i ličnim podacima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zastupanje interesa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Nepravilnosti i narušavanje integriteta u postupcima javnih nabavki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Usklađenost i kontrola propisa i standarda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ulaganja žalbi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 javnih nabavki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Portal javnih nabavki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7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transparentnost javnih nabavki.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Nevođenje evidencije po žalbama i ishodima po isitim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Pružanje povjerljivih informacija ponuđačima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Poštovanje i primjena propisa i internih akata u postupcima javnih nabavki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Propisi se uglavnom poštuju potrebno je donijeti interna uputstva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6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536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zaposlenih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slobodnom pristupu informacijama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Iznošenje netačnih informacija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Neblagovremeno obavještavanje javnosti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Netačno obavještavanje javnosti i iznosšenje netačnih podataka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Obavezna evidencija i provjera informacija prije javnih obvjavljivanja istih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Opštine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raditi na jačanju ljudskih kapaciteta zaduženih za poslove  objavljivanja infornacija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Zaštita ličnih podataka  službenika i namještenika u skaldu sa zakonom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 o odgovornosti lica zaduženom za odnose s javnošću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dodatno edukavati lica zadužena za odnose sa javnošću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96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9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9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samostalni savjetnik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 i netačan unos podataka u informacioni sistem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2430" w:rsidRDefault="00A731B7">
                  <w:r>
                    <w:br w:type="page"/>
                  </w:r>
                </w:p>
                <w:p w:rsidR="00CB2430" w:rsidRDefault="00CB2430">
                  <w:bookmarkStart w:id="8" w:name="JR_PAGE_ANCHOR_0_8"/>
                  <w:bookmarkEnd w:id="8"/>
                </w:p>
                <w:p w:rsidR="00CB2430" w:rsidRDefault="00A731B7">
                  <w:r>
                    <w:br w:type="page"/>
                  </w:r>
                </w:p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9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IT bezbjednost podataka kao i njihovo korišćenje u neslužbene svrhe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brisanja dokumenata zbog kvarova i nepostojanje rezervne kopije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kontinuirani i stručni nadzor nad podacima.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samostalni savjetnik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Dodatno raditi na edukaciji sa licima zadužena za nadzor nad podacima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48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8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samostalni savjetnik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 i netačan unos podataka u informacioni sistem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2430" w:rsidRDefault="00A731B7">
                  <w:r>
                    <w:br w:type="page"/>
                  </w:r>
                </w:p>
                <w:p w:rsidR="00CB2430" w:rsidRDefault="00CB2430">
                  <w:bookmarkStart w:id="9" w:name="JR_PAGE_ANCHOR_0_9"/>
                  <w:bookmarkEnd w:id="9"/>
                </w:p>
                <w:p w:rsidR="00CB2430" w:rsidRDefault="00A731B7">
                  <w:r>
                    <w:br w:type="page"/>
                  </w:r>
                </w:p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8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IT bezbjednost podataka kao i njihovo korišćenje u neslužbene svrhe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brisanja dokumenata zbog kvarova i nepostojanje rezervne kopije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Obuka zapsolenih o bezbjednom rukovanju podacima u elektronskoj formi.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Nije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Nije vršena edukacija zaposlenih o rukovanju podacima u elektronskoj formi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Obavezno  tajno čuvanje username i šifri administratora.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Postoji Lice zaduženo za čuvanje username i šifre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388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8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8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6.1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Upravljanje konsolidovanim računom trezora, računima i drugim podračunima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računovodstva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Nedokumentovanost procedura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Odavanje tajnih podataka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Godišnji plan rada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revizija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Pokretanje disciplinskih postupaka za utvrđivanje odgovornosti zaposlenih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8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iznošenja informacija o finansijama i računima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Druge nedozvoljene radnje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 o upravljanju finasnijama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Kontinuirana kontrola i podnošenje izvještaja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povećati broj 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8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internih procedura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Raditi  na ažuriranju internih procedura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36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7.1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Oblast arhitekture i izgradnje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Glavni gradski arhitekta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Nedostatak kadra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Obaveza sastavljanja izvještaja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Neusklađenost propisa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Donošenje internih akata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Tranparentnost rada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Redovno obavještavanje javnosti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Glavni gradski arhitekta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Postignut je veći nivo transprentnosti u odnosu na raniji period. Dodatno raditi na edukaciji i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  <w:bookmarkStart w:id="10" w:name="JR_PAGE_ANCHOR_0_10"/>
            <w:bookmarkEnd w:id="10"/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60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0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9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7.1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Oblast arhitekture i izgradnje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Glavni gradski arhitekta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Nedostatak kadra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Obaveza sastavljanja izvještaja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Neusklađenost propisa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Donošenje internih akata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obavještavanju javnosti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8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Donošenje internih akata i uputstava 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Raditi na ažuriranju internih akata i uputstava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Saradnja sa organima loklane uprave iz oblasti uređenja prostora zaštite životne sredine i investicija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Potrebno je organi podignu novo saradnje i komunikacije na dnevnom nivou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508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0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0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7.2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Oblast arhitekture i izgradnje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Usklađenost i kontrola propisa i standarda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Godišnji plan rada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0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Nedovoljan i netrasparentan postupak legalizacije objakata.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Zloupotreba tokom postupka legalizacije objekata.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Nesavjestan i nestručan rad.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Sistem kontrole i  nadzora nad radom zaposlenih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Mjesečni izvještaji o radu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 postoji mehanizam kontrole nad radom zaposlenih niti mjesečni izvještaji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Nije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Potrebno je da veći broj službenika prisustvuje  edukacijama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  <w:bookmarkStart w:id="11" w:name="JR_PAGE_ANCHOR_0_11"/>
            <w:bookmarkEnd w:id="11"/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518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1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1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7.2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Oblast arhitekture i izgradnje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Usklađenost i kontrola propisa i standarda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Godišnji plan rada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1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Nedovoljan i netrasparentan postupak legalizacije objakata.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Zloupotreba tokom postupka legalizacije objekata.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i nestručan rad.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Vođenje evidencije i obavještavanje javnosti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Javnost se redovno obavještava o temama od javnog značaja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72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Postupanje u zakonom predviđenim rokovima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Rokovi se u najvećem broju slučajeva poštuju i postupa se u ostavljenom roku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59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9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8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8.1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Oblast razvoja kulture i sporta i dr. manifestacija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službe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Široka diskreciona ovlašćenja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9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menifestacija.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pripremanje projekata iz oblasti kulture i obrazovanja.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Neuskalđenost propisa.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32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programa kulturnih manifestacija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Uslađivanje propisa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Sprovođenje akcionog plana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Nije usvojen program kulturnih manifestacija. Potrebno dodatno raditi na usklađivanju propisa iz nadležnosti sekretarijata u odnosu na institucije kulture na lokalnom novu kao i spovođenju Akcionih planova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4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Obavješatvanje javnosti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Objavljivanje odluka na sajtu Opštine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Potrebno je povećati nivo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  <w:bookmarkStart w:id="12" w:name="JR_PAGE_ANCHOR_0_12"/>
            <w:bookmarkEnd w:id="12"/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464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6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8.1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Oblast razvoja kulture i sporta i dr. manifestacija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 Sekretarijata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službe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Široka diskreciona ovlašćenja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6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menifestacija.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pripremanje projekata iz oblasti kulture i obrazovanja.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Neuskalđenost propisa.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32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objavljivanja odluka i obavještavanja javnosti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1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Objavljivanje odluka na sajtu 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Povećan je broj objava na sajtu, međutim potrebno je dodatno raditi na dostavljanju odluka i objavljivanju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644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4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4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9.1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Poslovi inspekcijskog nadzora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načelnik komunalne policije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Komunalni policajac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Pokretanje disciplinskih postupaka za utvrđivanje odgovornosti zaposlenih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4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Nezakonito donošenje odluka prilikom inspekcijskog nadzora.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Selektivno primjenjivanje zakona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Informisanje javnosti o radu.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načelnik komunalne policije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kontiniuirano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 redovno informisati javnost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8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Kvartalno podnošenje izvještaja o radu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Izvještaji se ne podnose kvartalno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Preventivno djelovanje putem upozorenja i sl.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Komunalna policija preventivno djeluje putem obavještenja i upozorenja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2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9.1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Poslovi inspekcijskog nadzora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načelnik komunalne policije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Komunalni policajac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Pokretanje disciplinskih postupaka za utvrđivanje odgovornosti zaposlenih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Nezakonito donošenje odluka prilikom inspekcijskog nadzora.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Selektivno primjenjivanje zakona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Obavještavanje građana o aktivnostima i radu OLU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redovnije obavještavanje građana o aktivnostima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886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10.1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Zastupanje prava opštine pred sudovima i drugim državnim organima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samostalni savjetnik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2430" w:rsidRDefault="00A731B7">
                  <w:r>
                    <w:br w:type="page"/>
                  </w:r>
                </w:p>
                <w:p w:rsidR="00CB2430" w:rsidRDefault="00CB2430">
                  <w:bookmarkStart w:id="13" w:name="JR_PAGE_ANCHOR_0_13"/>
                  <w:bookmarkEnd w:id="13"/>
                </w:p>
                <w:p w:rsidR="00CB2430" w:rsidRDefault="00A731B7">
                  <w:r>
                    <w:br w:type="page"/>
                  </w:r>
                </w:p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izjavljivanje pravnih lijekova.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Propuštanje preduzimanja određenih radnji.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Široka diskreciona ovlašćenja.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10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50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podnošenje izvještaja o radu.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Izvješataji se ne podnose kvartalno, već jednom godišnje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samostalni savjetnik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8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Izvještavanje o stanju o zaduženim predmetima.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Izvještaji se moraju redovnije podnositi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8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Transparentnost  rada.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raditi na većoj transparentnosti u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9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Mjesečno izvještavanje o stanju u predmeta, preduzetim aktivnostima i pokretanju postupka radi sprječavanja zastarijevanja naplate potraživanja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Nije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 postoje mjesečni izvještaji o radnjama preduzetim radi sprečavanja zastarij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evanja predmeta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4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18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8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10.1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Zastupanje prava opštine pred sudovima i drugim državnim organima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samostalni savjetnik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2430" w:rsidRDefault="00A731B7">
                  <w:r>
                    <w:br w:type="page"/>
                  </w:r>
                </w:p>
                <w:p w:rsidR="00CB2430" w:rsidRDefault="00CB2430">
                  <w:bookmarkStart w:id="14" w:name="JR_PAGE_ANCHOR_0_14"/>
                  <w:bookmarkEnd w:id="14"/>
                </w:p>
                <w:p w:rsidR="00CB2430" w:rsidRDefault="00A731B7">
                  <w:r>
                    <w:br w:type="page"/>
                  </w:r>
                </w:p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izjavljivanje pravnih lijekova.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Propuštanje preduzimanja određenih radnji.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Široka diskreciona ovlašćenja.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10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50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3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20"/>
                    </w:trPr>
                    <w:tc>
                      <w:tcPr>
                        <w:tcW w:w="3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926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92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10.2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Zastupanje prava opštine pred sudovima i drugim državnim organima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stručna služba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Prekoračenje i zloupotreba službenih nadležnosti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Netačna i nepotpuna evidencija osnovnih sredstava i imovine u posjedu organa opštine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Neblagovremeno pokretanje postupka eksproprijacije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54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Godišnje evidentiranje cjelokupne imovine.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Formiranje jedinstvene evidencije nepokrene imovine u vlasnišvu Opštine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Nije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 postoji jedinstvena evidencija pokretne i nepokretne imovine Opštine. Potrebno je evidentiranje u skladu sa Zakonom o državnoj imovini i preporukama resornog Ministarstva za poslove imovine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stanju imovine u vlasnišvu Opštine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Godišnji izvještaj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godišnje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Direkcija nije pripremila godišnji izvještaj o stanju imovine,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78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Vođenje evidencije o svojinsko pravnim promjenama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Potrebno je voditi jedinstvenu evidenciju o svojimnsko pravnim promjenama na godišnjem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  <w:bookmarkStart w:id="15" w:name="JR_PAGE_ANCHOR_0_15"/>
            <w:bookmarkEnd w:id="15"/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598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9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9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10.2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Zastupanje prava opštine pred sudovima i drugim državnim organima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stručna služba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Prekoračenje i zloupotreba službenih nadležnosti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9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Netačna i nepotpuna evidencija osnovnih sredstava i imovine u posjedu organa opštine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Neblagovremeno pokretanje postupka eksproprijacije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54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nivou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Neposredna saradnja sa strankama i profesionalan odnos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podići na viši nivo komunikaciju i saradnju sa strankama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Obavezno postupanje u skladu sa zakonskim rokovima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kontinuirano pratiti rokove i postupati po istim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51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1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0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11.1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Posebne oblasti rizika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Komandir službe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strateško planiranje rada institucije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1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i neblagovremeno postupanje i slučaju nastanka elementarnih nepogoda.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Nedovoljan broj izvršilaca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Kontinuirana edukacija i usavršavanje i dodatne obuke zaposlenih.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Komandir službe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Potrebno je nastaviti sa obukama i edukacijom zaposlenih u Službi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Saradnja sa civilnim sektorom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Donošenje Planova zaštite i spašavanja u skladu sa preporukama i zakljucima Vlade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Povećan obim saradnje sa civilnim sektorom prilikom vanrednih situacija.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Potrebno je redovno ažurirrati Planove kao i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  <w:bookmarkStart w:id="16" w:name="JR_PAGE_ANCHOR_0_16"/>
            <w:bookmarkEnd w:id="16"/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58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8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7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11.1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Posebne oblasti rizika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Komandir službe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strateško planiranje rada institucije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8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i neblagovremeno postupanje i slučaju nastanka elementarnih nepogoda.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Nedovoljan broj izvršilaca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usvojiti nedostajuće Planove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Saradnja sa MUP-om Direktorat za vanredne situacije.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Postoji saradnja sa Direktoratom za vanredne situacije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Saradnja sa svim subjektima koja mogu pomoći u vanrednim situacijama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Povećan nivo saradnje tokom izvještajnog perioda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528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2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2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Posebne oblasti rizika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kontrola rada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revizija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2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Strateško i godišnje planiranje koje nije zasnovano na rizicima.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Nedovoljno stručno i neprimjenjivanje propisane metodologije rada.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Neblagovremeno vršenje interne revizije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Kontinuirana edukacija zaposlenih u službi.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Potrebno je nastaviti edukaciju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interne procedure za obavlajnje revizije.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Obavještavanje o rezultatima interne revizije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Nedostaje izvještavanje i upoznavanje organa o rezultatima interne revizije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8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Saradnja Službe revizije sa drugim organima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Djelimično realizovano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Potrebno je 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0"/>
                    </w:trPr>
                    <w:tc>
                      <w:tcPr>
                        <w:tcW w:w="20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B2430" w:rsidRDefault="00CB2430">
            <w:pPr>
              <w:pStyle w:val="EMPTYCELLSTYLE"/>
              <w:pageBreakBefore/>
            </w:pPr>
            <w:bookmarkStart w:id="17" w:name="JR_PAGE_ANCHOR_0_17"/>
            <w:bookmarkEnd w:id="17"/>
          </w:p>
        </w:tc>
        <w:tc>
          <w:tcPr>
            <w:tcW w:w="4200" w:type="dxa"/>
            <w:gridSpan w:val="3"/>
          </w:tcPr>
          <w:p w:rsidR="00CB2430" w:rsidRDefault="00CB2430">
            <w:pPr>
              <w:pStyle w:val="EMPTYCELLSTYLE"/>
            </w:pPr>
          </w:p>
        </w:tc>
        <w:tc>
          <w:tcPr>
            <w:tcW w:w="4800" w:type="dxa"/>
            <w:gridSpan w:val="5"/>
          </w:tcPr>
          <w:p w:rsidR="00CB2430" w:rsidRDefault="00CB2430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CB2430" w:rsidRDefault="00CB2430">
            <w:pPr>
              <w:pStyle w:val="EMPTYCELLSTYLE"/>
            </w:pPr>
          </w:p>
        </w:tc>
        <w:tc>
          <w:tcPr>
            <w:tcW w:w="5600" w:type="dxa"/>
            <w:gridSpan w:val="5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186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160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CB243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CB2430" w:rsidRDefault="00A731B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Posebne oblasti rizika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kontrola rada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 o radu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revizija</w:t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Strateško i godišnje planiranje koje nije zasnovano na rizicima.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Nedovoljno stručno i neprimjenjivanje propisane metodologije rada.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Neblagovremeno vršenje interne revizije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CB243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CB2430" w:rsidRDefault="00A731B7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:rsidR="00CB2430" w:rsidRDefault="00CB243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00"/>
                    <w:gridCol w:w="1400"/>
                    <w:gridCol w:w="400"/>
                    <w:gridCol w:w="1200"/>
                  </w:tblGrid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3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CB243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CB2430" w:rsidRDefault="00A731B7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A731B7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podići nivo saradnje sa drugim organima</w:t>
                        </w: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3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3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  <w:tr w:rsidR="00CB2430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00"/>
                    </w:trPr>
                    <w:tc>
                      <w:tcPr>
                        <w:tcW w:w="3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CB2430" w:rsidRDefault="00CB2430">
                        <w:pPr>
                          <w:pStyle w:val="EMPTYCELLSTYLE"/>
                        </w:pPr>
                      </w:p>
                    </w:tc>
                  </w:tr>
                </w:tbl>
                <w:p w:rsidR="00CB2430" w:rsidRDefault="00CB2430">
                  <w:pPr>
                    <w:pStyle w:val="EMPTYCELLSTYLE"/>
                  </w:pPr>
                </w:p>
              </w:tc>
            </w:tr>
          </w:tbl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4200" w:type="dxa"/>
            <w:gridSpan w:val="3"/>
          </w:tcPr>
          <w:p w:rsidR="00CB2430" w:rsidRDefault="00CB2430">
            <w:pPr>
              <w:pStyle w:val="EMPTYCELLSTYLE"/>
            </w:pPr>
          </w:p>
        </w:tc>
        <w:tc>
          <w:tcPr>
            <w:tcW w:w="4800" w:type="dxa"/>
            <w:gridSpan w:val="5"/>
          </w:tcPr>
          <w:p w:rsidR="00CB2430" w:rsidRDefault="00CB2430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CB2430" w:rsidRDefault="00CB2430">
            <w:pPr>
              <w:pStyle w:val="EMPTYCELLSTYLE"/>
            </w:pPr>
          </w:p>
        </w:tc>
        <w:tc>
          <w:tcPr>
            <w:tcW w:w="5600" w:type="dxa"/>
            <w:gridSpan w:val="5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4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r>
              <w:rPr>
                <w:rFonts w:ascii="DejaVu Sans" w:eastAsia="DejaVu Sans" w:hAnsi="DejaVu Sans" w:cs="DejaVu Sans"/>
                <w:b/>
                <w:color w:val="000000"/>
                <w:sz w:val="22"/>
              </w:rPr>
              <w:t>PODNOSILAC IZVJEŠTAJA</w:t>
            </w:r>
          </w:p>
        </w:tc>
        <w:tc>
          <w:tcPr>
            <w:tcW w:w="4800" w:type="dxa"/>
            <w:gridSpan w:val="5"/>
          </w:tcPr>
          <w:p w:rsidR="00CB2430" w:rsidRDefault="00CB2430">
            <w:pPr>
              <w:pStyle w:val="EMPTYCELLSTYLE"/>
            </w:pPr>
          </w:p>
        </w:tc>
        <w:tc>
          <w:tcPr>
            <w:tcW w:w="70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pPr>
              <w:jc w:val="right"/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</w:rPr>
              <w:t>STARJEŠINA/ODGOVORNO LICE U ORGANU VLASTI</w:t>
            </w: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4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430" w:rsidRDefault="00A731B7">
            <w:r>
              <w:rPr>
                <w:rFonts w:ascii="DejaVu Sans" w:eastAsia="DejaVu Sans" w:hAnsi="DejaVu Sans" w:cs="DejaVu Sans"/>
                <w:b/>
                <w:color w:val="000000"/>
                <w:sz w:val="22"/>
              </w:rPr>
              <w:t>Menadžer integriteta</w:t>
            </w:r>
          </w:p>
        </w:tc>
        <w:tc>
          <w:tcPr>
            <w:tcW w:w="4800" w:type="dxa"/>
            <w:gridSpan w:val="5"/>
          </w:tcPr>
          <w:p w:rsidR="00CB2430" w:rsidRDefault="00CB2430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CB2430" w:rsidRDefault="00CB2430">
            <w:pPr>
              <w:pStyle w:val="EMPTYCELLSTYLE"/>
            </w:pPr>
          </w:p>
        </w:tc>
        <w:tc>
          <w:tcPr>
            <w:tcW w:w="5600" w:type="dxa"/>
            <w:gridSpan w:val="5"/>
          </w:tcPr>
          <w:p w:rsidR="00CB2430" w:rsidRDefault="00CB2430">
            <w:pPr>
              <w:pStyle w:val="EMPTYCELLSTYLE"/>
            </w:pP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  <w:tr w:rsidR="00CB2430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:rsidR="00CB2430" w:rsidRDefault="00CB2430">
            <w:pPr>
              <w:pStyle w:val="EMPTYCELLSTYLE"/>
            </w:pPr>
          </w:p>
        </w:tc>
        <w:tc>
          <w:tcPr>
            <w:tcW w:w="4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430" w:rsidRDefault="00A731B7">
            <w:r>
              <w:rPr>
                <w:rFonts w:ascii="DejaVu Sans" w:eastAsia="DejaVu Sans" w:hAnsi="DejaVu Sans" w:cs="DejaVu Sans"/>
                <w:b/>
                <w:color w:val="000000"/>
                <w:sz w:val="22"/>
              </w:rPr>
              <w:t>__________________________</w:t>
            </w:r>
          </w:p>
        </w:tc>
        <w:tc>
          <w:tcPr>
            <w:tcW w:w="4800" w:type="dxa"/>
            <w:gridSpan w:val="5"/>
          </w:tcPr>
          <w:p w:rsidR="00CB2430" w:rsidRDefault="00CB2430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CB2430" w:rsidRDefault="00CB2430">
            <w:pPr>
              <w:pStyle w:val="EMPTYCELLSTYLE"/>
            </w:pPr>
          </w:p>
        </w:tc>
        <w:tc>
          <w:tcPr>
            <w:tcW w:w="56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2430" w:rsidRDefault="00A731B7">
            <w:pPr>
              <w:jc w:val="right"/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</w:rPr>
              <w:t>__________________________</w:t>
            </w:r>
          </w:p>
        </w:tc>
        <w:tc>
          <w:tcPr>
            <w:tcW w:w="40" w:type="dxa"/>
          </w:tcPr>
          <w:p w:rsidR="00CB2430" w:rsidRDefault="00CB2430">
            <w:pPr>
              <w:pStyle w:val="EMPTYCELLSTYLE"/>
            </w:pPr>
          </w:p>
        </w:tc>
      </w:tr>
    </w:tbl>
    <w:p w:rsidR="00A731B7" w:rsidRDefault="00A731B7"/>
    <w:sectPr w:rsidR="00A731B7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80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430"/>
    <w:rsid w:val="00A731B7"/>
    <w:rsid w:val="00CB2430"/>
    <w:rsid w:val="00F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TableTH">
    <w:name w:val="Table_TH"/>
    <w:qFormat/>
    <w:rPr>
      <w:rFonts w:ascii="SansSerif" w:eastAsia="SansSerif" w:hAnsi="SansSerif" w:cs="SansSerif"/>
      <w:color w:val="000000"/>
    </w:rPr>
  </w:style>
  <w:style w:type="paragraph" w:customStyle="1" w:styleId="TableCH">
    <w:name w:val="Table_CH"/>
    <w:qFormat/>
    <w:rPr>
      <w:rFonts w:ascii="SansSerif" w:eastAsia="SansSerif" w:hAnsi="SansSerif" w:cs="SansSerif"/>
      <w:color w:val="000000"/>
    </w:rPr>
  </w:style>
  <w:style w:type="paragraph" w:customStyle="1" w:styleId="TableTD">
    <w:name w:val="Table_TD"/>
    <w:qFormat/>
    <w:rPr>
      <w:rFonts w:ascii="SansSerif" w:eastAsia="SansSerif" w:hAnsi="SansSerif" w:cs="SansSerif"/>
      <w:color w:val="000000"/>
    </w:rPr>
  </w:style>
  <w:style w:type="paragraph" w:customStyle="1" w:styleId="narandzasta">
    <w:name w:val="narandzasta"/>
    <w:qFormat/>
    <w:rPr>
      <w:rFonts w:ascii="SansSerif" w:eastAsia="SansSerif" w:hAnsi="SansSerif" w:cs="SansSerif"/>
      <w:color w:val="000000"/>
    </w:rPr>
  </w:style>
  <w:style w:type="paragraph" w:customStyle="1" w:styleId="zelena">
    <w:name w:val="zelena"/>
    <w:qFormat/>
    <w:rPr>
      <w:rFonts w:ascii="SansSerif" w:eastAsia="SansSerif" w:hAnsi="SansSerif" w:cs="SansSerif"/>
      <w:color w:val="000000"/>
    </w:rPr>
  </w:style>
  <w:style w:type="paragraph" w:customStyle="1" w:styleId="crvena">
    <w:name w:val="crvena"/>
    <w:qFormat/>
    <w:rPr>
      <w:rFonts w:ascii="SansSerif" w:eastAsia="SansSerif" w:hAnsi="SansSerif" w:cs="SansSerif"/>
      <w:color w:val="000000"/>
    </w:rPr>
  </w:style>
  <w:style w:type="paragraph" w:customStyle="1" w:styleId="Style1">
    <w:name w:val="Style1"/>
    <w:qFormat/>
    <w:rPr>
      <w:rFonts w:ascii="SansSerif" w:eastAsia="SansSerif" w:hAnsi="SansSerif" w:cs="SansSerif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TableTH">
    <w:name w:val="Table_TH"/>
    <w:qFormat/>
    <w:rPr>
      <w:rFonts w:ascii="SansSerif" w:eastAsia="SansSerif" w:hAnsi="SansSerif" w:cs="SansSerif"/>
      <w:color w:val="000000"/>
    </w:rPr>
  </w:style>
  <w:style w:type="paragraph" w:customStyle="1" w:styleId="TableCH">
    <w:name w:val="Table_CH"/>
    <w:qFormat/>
    <w:rPr>
      <w:rFonts w:ascii="SansSerif" w:eastAsia="SansSerif" w:hAnsi="SansSerif" w:cs="SansSerif"/>
      <w:color w:val="000000"/>
    </w:rPr>
  </w:style>
  <w:style w:type="paragraph" w:customStyle="1" w:styleId="TableTD">
    <w:name w:val="Table_TD"/>
    <w:qFormat/>
    <w:rPr>
      <w:rFonts w:ascii="SansSerif" w:eastAsia="SansSerif" w:hAnsi="SansSerif" w:cs="SansSerif"/>
      <w:color w:val="000000"/>
    </w:rPr>
  </w:style>
  <w:style w:type="paragraph" w:customStyle="1" w:styleId="narandzasta">
    <w:name w:val="narandzasta"/>
    <w:qFormat/>
    <w:rPr>
      <w:rFonts w:ascii="SansSerif" w:eastAsia="SansSerif" w:hAnsi="SansSerif" w:cs="SansSerif"/>
      <w:color w:val="000000"/>
    </w:rPr>
  </w:style>
  <w:style w:type="paragraph" w:customStyle="1" w:styleId="zelena">
    <w:name w:val="zelena"/>
    <w:qFormat/>
    <w:rPr>
      <w:rFonts w:ascii="SansSerif" w:eastAsia="SansSerif" w:hAnsi="SansSerif" w:cs="SansSerif"/>
      <w:color w:val="000000"/>
    </w:rPr>
  </w:style>
  <w:style w:type="paragraph" w:customStyle="1" w:styleId="crvena">
    <w:name w:val="crvena"/>
    <w:qFormat/>
    <w:rPr>
      <w:rFonts w:ascii="SansSerif" w:eastAsia="SansSerif" w:hAnsi="SansSerif" w:cs="SansSerif"/>
      <w:color w:val="000000"/>
    </w:rPr>
  </w:style>
  <w:style w:type="paragraph" w:customStyle="1" w:styleId="Style1">
    <w:name w:val="Style1"/>
    <w:qFormat/>
    <w:rPr>
      <w:rFonts w:ascii="SansSerif" w:eastAsia="SansSerif" w:hAnsi="SansSerif" w:cs="SansSerif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4619</Words>
  <Characters>26331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2024-04-08T07:04:00Z</cp:lastPrinted>
  <dcterms:created xsi:type="dcterms:W3CDTF">2024-04-08T07:05:00Z</dcterms:created>
  <dcterms:modified xsi:type="dcterms:W3CDTF">2024-04-08T07:05:00Z</dcterms:modified>
</cp:coreProperties>
</file>